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after="0" w:line="240" w:lineRule="auto"/>
        <w:jc w:val="right"/>
        <w:rPr>
          <w:rFonts w:ascii="Calibri" w:cs="Calibri" w:eastAsia="Calibri" w:hAnsi="Calibri"/>
          <w:i w:val="1"/>
        </w:rPr>
      </w:pPr>
      <w:bookmarkStart w:colFirst="0" w:colLast="0" w:name="_heading=h.62hoickev7bz" w:id="0"/>
      <w:bookmarkEnd w:id="0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Załącznik nr 9 do regulaminu naboru do projektu pn. </w:t>
      </w:r>
      <w:r w:rsidDel="00000000" w:rsidR="00000000" w:rsidRPr="00000000">
        <w:rPr>
          <w:rtl w:val="0"/>
        </w:rPr>
        <w:t xml:space="preserve">„Usługi rozwojowe - dotacje na szkolenia i studia podyplomowe” nr FESL.10.17-IP.02-0761/23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WSPARCIA ROZWOJOWEGO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Podmiotowego systemu finansowania usług rozwojowych (PSF)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priorytet FESL.10 Fundusze Europejskie na transformację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działanie FESL.10.17 Kształcenie osób dorosłych – FST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programu Fundusze Europejskie dla Śląskiego 2021-2027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(dla usługi typu studia podyplomowe)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ŚCIEŻKA WSPARCIA TYP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Numer ewidencyjny użytkownika: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(ID wsparcia)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Nr Umowy: ………………../…..</w:t>
      </w:r>
    </w:p>
    <w:p w:rsidR="00000000" w:rsidDel="00000000" w:rsidP="00000000" w:rsidRDefault="00000000" w:rsidRPr="00000000" w14:paraId="0000000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Umowa uczestnictwa w projekcie: „Usługi rozwojowe - dotacje na szkolenia i studia podyplomowe” o numerze FESL.10.17-IP.02-0761/23 realizowanym w ramach Programu Fundusze Europejskie dla Śląskiego 2021-2027, współfinansowanego ze środków Funduszu na Rzecz Sprawiedliwej Transformacji,</w:t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 zawarta w Rudzie Śląskiej w dniu…………………….. pomiędzy:</w:t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Śląskim Inkubatorem Przedsiębiorczości Sp. z o. o. z siedzibą w Rudzie Śląskiej, pod adresem: </w:t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ul. Karola Goduli 36, 41-703 Ruda Śląska, wpisaną do rejestru przedsiębiorców KRS przez Sąd Rejonowy w Gliwicach, X Wydział Gospodarczy Krajowego Rejestru Sądowego pod numerem 0000210501, 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o kapitale zakładowym w wysokości 5 773 000,00 zł, posiadającą nr NIP: 6412311445 oraz REGON: 278215736;</w:t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(imię i nazwisko osoby), zamieszkałą/ym pod adresem …………………………………….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PESEL……………………………………………….</w:t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zwaną/-ym dalej „osobą korzystającą z usługi”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zwanymi dalej „stronami umowy”.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Strony umowy zgodnie postanawiają, co następuje: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1.</w:t>
      </w:r>
    </w:p>
    <w:p w:rsidR="00000000" w:rsidDel="00000000" w:rsidP="00000000" w:rsidRDefault="00000000" w:rsidRPr="00000000" w14:paraId="0000001C">
      <w:pPr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Definicje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Bazy usług rozwojowych (BUR)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Baza usług rozwojowych (BUR)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publikację ofert Usług rozwojowych świadczonych przez Dostawców usług wpisanych do BUR;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dokonywanie zapisów na poszczególne Usługi rozwojowe przez użytkowników (bez możliwości realizacji płatności z poziomu BUR);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zamieszczanie ogłoszeń o zapotrzebowaniu na Usługi rozwojowe;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dokonywanie oceny Usług rozwojowych zgodnie z Systemem oceny usług rozwojowych;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zapoznanie się z wynikiem ocen Usług rozwojowych dokonanych przez innych użytkowników usług.</w:t>
      </w:r>
    </w:p>
    <w:p w:rsidR="00000000" w:rsidDel="00000000" w:rsidP="00000000" w:rsidRDefault="00000000" w:rsidRPr="00000000" w14:paraId="00000024">
      <w:pPr>
        <w:spacing w:after="0" w:line="24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skład BUR wchodzi ogólnodostępny serwis informacyjny. Dane identyfikujące Dostawcę usług, dane dotyczące Usług rozwojowych oraz oceny tych usług są udostępniane przez Administratora BUR na stronie internetowej BUR.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Biuro obsługi klienta (BOK)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miejsce, w którym jest prowadzona obsługa osób zainteresowanych uczestnictwem w projekcie, osób uczestniczących w projekcie oraz osób korzystających z usługi.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Certyfikowanie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wyboru usług rozwojowych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Dostawca usługi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świadczący Usługi rozwojowe, przedsiębiorca lub instytucja, prowadzący aktywną działalność, który świadczy usługi rozwojowe i dokonuje rejestracji w BUR za pomocą Karty Dostawcy Usług, w trybie określonym w regulaminie BUR.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oznacza dzień roboczy. Za dzień roboczy uważany jest każdy dzień od poniedziałku do piątku, z wyłączeniem dni ustawowo wolnych od pracy przypadających w tym okresie.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85lbya1k6mp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wsparcia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wszelkie działania projektowe adresowane do osoby uczestniczącej w projekcie/osoby korzystającej z usługi.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wsparcia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unikatowy numer wsparcia przydzielany do umowy wsparcia przez Administratora regionalnego BUR.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FESL-WUP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Instytucja pośrednicząca programu Fundusze Europejskie dla Śląskiego 2021-2027 – Wojewódzki Urząd Pracy w Katowicach.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usługi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formularz określający zakres informacji umożliwiających publikację danej Usługi rozwojowej w BUR oraz dostępny na stronie internetowej BUR, którego wzór stanowi załącznik nr 2 do regulaminu BUR.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Kwalifikacja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iis8g8wa3yec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Mobilne biuro obsługi klienta (MBOK)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 projekcie/osób uczestniczących w projekcie/osób korzystających z usługi. Usługi MBOK świadczone są minimum 4 razy w miesiącu.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5s594zhu1gdh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regionalny PSF (Operator)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odpowiedzialny za realizację projektu i dystrybucję wsparcia na rzecz osób uczestniczących w projekcie/osób korzystających z usługi, w tym w szczególności za rekrutację tych osób do projektu oraz za zawieranie z nimi umów uczestnictwa, umów wsparcia oraz rozliczanie wsparcia. Operatorem w projekcie pn. </w:t>
      </w:r>
      <w:r w:rsidDel="00000000" w:rsidR="00000000" w:rsidRPr="00000000">
        <w:rPr>
          <w:rtl w:val="0"/>
        </w:rPr>
        <w:t xml:space="preserve">„Usługi rozwojowe - dotacje na szkolenia i studia podyplomowe” jest  Śląski Inkubator Przedsiębiorczości Sp. z o.o.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podpisała umowę wsparcia.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podpisała umowę uczestnictwa w projekcie.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zainteresowana uczestnictwem w projekcie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wysłała fiszkę zgłoszeniową do projektu.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iddso1mhjwe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zakwalifikowana do projektu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której dokumenty zgłoszeniowe zostały pozytywnie zweryfikowane przez Operatora.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współodpowiedzialny za realizację projektu Podmiotowego systemu finansowania (PSF) i dystrybucję wsparcia na rzecz osób uczestniczących w projekcie/osób korzystających z usługi, wskazany we wniosku o dofinansowanie realizacji projektu, którego łączy z Operatorem umowa partnerska.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Podmiotowy system finansowania (PSF)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przedsięwzięcie, o którym mowa w art. 2 pkt 22 ustawy z dnia 28 kwietnia 2022 r. o zasadach realizacji zadań finansowanych ze środków europejskich w perspektywie finansowej 2021-2027 (Dz.U. z 2022 r., poz. 1079), realizowane w ramach PSF, </w:t>
      </w:r>
      <w:r w:rsidDel="00000000" w:rsidR="00000000" w:rsidRPr="00000000">
        <w:rPr>
          <w:rtl w:val="0"/>
        </w:rPr>
        <w:t xml:space="preserve">pn. „Usługi rozwojowe - dotacje na szkolenia i studia podyplomowe” o nr  FESL.10.17-IP.02-0761/23,  w okresie od 01.07.2024 do 31.12.2026 przez Śląski Inkubator Przedsiębiorczości Sp. z o.o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Refundacja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zwrot środków za udział w usłudze rozwojowej.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regulamin naboru do projektu pn. </w:t>
      </w:r>
      <w:r w:rsidDel="00000000" w:rsidR="00000000" w:rsidRPr="00000000">
        <w:rPr>
          <w:rtl w:val="0"/>
        </w:rPr>
        <w:t xml:space="preserve">„Usługi rozwojowe - dotacje na szkolenia i studia podyplomowe” o nr  FESL.10.17-IP.02-0761/23.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oceny usług rozwojowych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dokument określający zasady oceny Usług rozwojowych, dokonywanej przez użytkowników w ramach profili: użytkownika, dostawcy usług, pracodawcy, stanowiący załącznik 3 do regulaminu BUR.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wsparcia (ścieżka wsparcia typ 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umowa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dofinansowanie ściśle określonej liczby usług rozwojowych w ramach PSF,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zawierana pomiędzy Operatorem a osobą zainteresowaną uczestnictwem w projekcie, określająca warunki dofinansowania, realizacji i rozliczania tych usług.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usługa: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szkoleniowa – mająca na celu nabycie, potwierdzenie lub wzrost wiedzy, umiejętności lub kompetencji usługobiorcy, w tym przygotowująca do uzyskania kwalifikacji lub umożliwiająca potwierdzenie kwalifikacji lub pozwalająca na ich rozwój;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certyfikująca – mająca na celu nadanie określonej kwalifikacji;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walidująca – mająca na celu sprawdzenie czy osoba ubiegająca się o nadanie określonej kwalifikacji, niezależnie od sposobu uczenia się tej osoby, osiągnęła wyodrębnioną część lub całość efektów uczenia się wymaganych dla tej kwalifikacji;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studia podyplomowe.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Wszystkie usługi rozwojowe dofinansowane w ramach projektu muszą prowadzić do zdobycia zielonych kompetencji/kwalifikacji.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Walidacja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Wkład własny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Zintegrowany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Kwalifikacji (ZSK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– wyodrębniona część Krajowego Systemu Kwalifikacji, w której obowiązują określone w ustawie z dnia 22 grudnia 2015 r. o Zintegrowanym Systemie Kwalifikacji (t.j.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2.</w:t>
      </w:r>
    </w:p>
    <w:p w:rsidR="00000000" w:rsidDel="00000000" w:rsidP="00000000" w:rsidRDefault="00000000" w:rsidRPr="00000000" w14:paraId="00000048">
      <w:pPr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Przedmiot umowy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warunkach określonych w umowie Operator zobowiązuje się udzielić osobie korzystającej z usługi refundacji z Funduszu na Rzecz Sprawiedliwej Transformacji za pokrycie kosztu zakupu ……..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[wpisać liczbę]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usługi rozwojowej/usług rozwojowych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zgodnej/zgodnych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potrzebami rozwojowymi tej osoby, w łącznej wysokości ………………. zł (słownie: …………………… złotych) i stanowiącej nie więcej niż 95% całkowitych kosztów kwalifikowanych tej usługi/tych usług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e0xmm118omme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dokona zwrotu środków (za wyjątkiem wymaganego wkładu własnego) osobie korzystającej z usługi/usług po zakończeniu jej udziału w tej usłudze/usługach, dostarczeniu niezbędnych dokumentów rozliczeniowych i pozytywnym rozpatrzeniu wniosku rozliczeniowego, na konto osoby korzystającej z usługi, podane w Załączniku nr 11 do regulaminu naboru, czyli wniosku o rozliczenie usługi.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 danej usługi/ usług wynosi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nr ………………………………….................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dofinansowanie w kwocie ………… zł (słownie: ……………………… złotych);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wkład własny w kwocie …………. zł (słownie: ……………………… złotych).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Poniesienie przez osobę korzystającą z usługi kosztu w kwocie większej niż określona w ust. 3, nie stanowi podstawy do zwiększenia przyznanej kwoty dofinansowania.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zobowiązuje się do jej opłacenia w całości na rachunek bankowy dostawcy usługi z własnego rachunku bankowego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łącznej – wynikającej z zapisów ust. 3 – wysokości …………… zł, z wyszczególnieniem w tytule przelewu ID wsparcia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terminie do 3 dni po dokonaniu wpłaty na konto dostawcy usługi, osoba korzystająca z usługi ma obowiązek dostarczyć Operatorowi kopię faktury (bądź innego dokumentu, np. umowy z dostawcą usługi) oraz potwierdzenie zapłaty. Dokumenty te będą stanowić podstawę do zwrotu części środków (po odliczeniu wkładu własnego) osobie korzystającej z usługi, po jej ukończeniu.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poniesienia kosztów niekwalifikowalnych, o których mowa w § 4, osoba korzystająca z usługi jest zobowiązana pokryć je ze środków własnych, na zasadach określonych w umowie.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zobowiązuje się do uczestnictwa w usłudze/usługach, o której/ych mowa w ust. 3 oraz zgodnie z kartą/ami usługi, stanowiącą/cymi załącznik do deklaracji wyboru usług rozwojowych, będącej/będącymi załącznikiem/załącznikami do umowy wsparcia. Minimalny poziom frekwencji na usłudze rozwojowej wynosi 80%.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realizacji usługi rozwojowej jest określony w karcie usługi/usług, stanowiącej/cych załącznik do deklaracji wyboru usług rozwojowych będącej załącznikiem do umowy.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Usługi rozwojowe muszą odbywać się poza godzinami pracy lub w dni wolne od pracy osoby biorącej udział w usłudze.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oświadcza, że zapoznała się z treścią regulaminu naboru i zobowiązuje się do stosowania jego zapisów.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3.</w:t>
      </w:r>
    </w:p>
    <w:p w:rsidR="00000000" w:rsidDel="00000000" w:rsidP="00000000" w:rsidRDefault="00000000" w:rsidRPr="00000000" w14:paraId="00000059">
      <w:pPr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Koszty kwalifikowalne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Kwalifikowanie kosztu usługi rozwojowej jest możliwe w przypadku, gdy łącznie zostały spełnione poniższe warunki: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zgłoszenie na usługę zostało zrealizowane za pośrednictwem BUR z wykorzystaniem odpowiedniego ID wsparcia;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dokonano zapisu na usługę w BUR z wykorzystaniem nadanego ID wsparcia;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wybrana, za pośrednictwem BUR, usługa musi mieć zaznaczoną opcję „możliwość dofinansowania”;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została zrealizowana zgodnie z założeniami, tj. zgodnie z programem, formą, na warunkach i w wymiarze czasowym określonym w karcie usługi a osoba korzystająca z usługi zdobyła zielone kompetencje/kwalifikacje;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została realizowana na terenie województwa śląskiego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0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usługa zakończyła się wypełnieniem ankiety oceniającej tę usługę, zgodnie z systemem oceny usług rozwojowych, oraz jej dostarczeniem przez osobę korzystającą z usługi do Operatora;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trakcie kontroli usługi (jeżeli była) nie wykazano nieprawidłowości/uchybień, które mogą świadczyć o niekwalifikowalności usługi;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wydatek został rzeczywiście poniesiony na zakup usługi;</w:t>
      </w:r>
    </w:p>
    <w:p w:rsidR="00000000" w:rsidDel="00000000" w:rsidP="00000000" w:rsidRDefault="00000000" w:rsidRPr="00000000" w14:paraId="00000063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wydatek został prawidłowo udokumentowany;</w:t>
      </w:r>
    </w:p>
    <w:p w:rsidR="00000000" w:rsidDel="00000000" w:rsidP="00000000" w:rsidRDefault="00000000" w:rsidRPr="00000000" w14:paraId="00000064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BUR zostały uzupełnione wszystkie pola dla profilu użytkownika w zakładce „Moje dane”;</w:t>
      </w:r>
    </w:p>
    <w:p w:rsidR="00000000" w:rsidDel="00000000" w:rsidP="00000000" w:rsidRDefault="00000000" w:rsidRPr="00000000" w14:paraId="00000065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minimalny poziom frekwencji na usłudze rozwojowej wyniósł nie mniej niż 80%.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rttv36ihexwz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do zasady, cena usługi rozwojowej wskazana w dokumencie księgowym nie może być wyższa od kwoty wskazanej w karcie usługi. Niemniej jednak, jeśli sytuacja taka miałaby miejsce (w przypadku nadwyżki kwoty w związku z zastosowaniem systemu płatności ratalnych za studia podyplomowe), koszt stanowiący nadwyżkę (różnica kwoty wskazanej w dokumencie księgowym a kwoty wskazanej w karcie usługi) pokrywany jest w całości przez osobę uczestniczącą w projekcie. W przypadku gdy cena usługi rozwojowej jest niższa od kwoty wskazanej w karcie usługi, Operator dokonuje zapłaty w tej niższej kwocie, w terminie zgodnym z § 5 ust. 10.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gdy wartość usługi rozwojowej przekracza dopuszczalny poziom dofinansowania, koszt usługi w zakresie niedofinansowanym w ramach projektu ponosi osoba korzystająca z usługi.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4.</w:t>
      </w:r>
    </w:p>
    <w:p w:rsidR="00000000" w:rsidDel="00000000" w:rsidP="00000000" w:rsidRDefault="00000000" w:rsidRPr="00000000" w14:paraId="0000006C">
      <w:pPr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Koszty niekwalifikowalne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 usługi rozwojowej poniesiony przez osobę, która przerwała udział w projekcie przed zakończeniem tej usługi, nie kwalifikuje się do dofinansowania przez Operatora.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projektu nie jest możliwe kwalifikowanie kosztów usługi rozwojowej, która: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świadczona przez podmiot na rzecz swoich pracowników;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świadczona przez podmiot, z którym osoba uczestnicząca w projekcie jest powiązana kapitałowo lub osobowo, przy czym przez powiązania kapitałowe lub osobowe rozumie się w szczególności: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udział w spółce jako wspólnik spółki cywilnej lub spółki osobowej;</w:t>
      </w:r>
    </w:p>
    <w:p w:rsidR="00000000" w:rsidDel="00000000" w:rsidP="00000000" w:rsidRDefault="00000000" w:rsidRPr="00000000" w14:paraId="00000072">
      <w:pPr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posiadanie co najmniej 10% udziałów lub akcji spółki, o ile niższy próg nie wynika z przepisów prawa;</w:t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pełnienie funkcji członka organu nadzorczego lub zarządzającego, prokurenta lub pełnomocnika;</w:t>
      </w:r>
    </w:p>
    <w:p w:rsidR="00000000" w:rsidDel="00000000" w:rsidP="00000000" w:rsidRDefault="00000000" w:rsidRPr="00000000" w14:paraId="00000074">
      <w:pPr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:rsidR="00000000" w:rsidDel="00000000" w:rsidP="00000000" w:rsidRDefault="00000000" w:rsidRPr="00000000" w14:paraId="00000075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jest świadczona przez podmiot pełniący funkcję Operatora lub partnera w projekcie albo przez podmiot powiązany z Operatorem lub partnerem kapitałowo lub osobowo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76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jest świadczona przez podmiot pełniący funkcję Operatora lub partnera Operatora PSF w którymkolwiek regionalnym programie lub w programie Fundusze Europejskie na Rozwój Społeczny;</w:t>
      </w:r>
    </w:p>
    <w:p w:rsidR="00000000" w:rsidDel="00000000" w:rsidP="00000000" w:rsidRDefault="00000000" w:rsidRPr="00000000" w14:paraId="00000077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obejmuje koszty niezwiązane bezpośrednio z usługą rozwojową, w szczególności koszty środków trwałych przekazywanych osobom uczestniczącym w projekcie,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5.</w:t>
      </w:r>
    </w:p>
    <w:p w:rsidR="00000000" w:rsidDel="00000000" w:rsidP="00000000" w:rsidRDefault="00000000" w:rsidRPr="00000000" w14:paraId="0000007C">
      <w:pPr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Rozliczenie wydatków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rozlicza usługę rozwojową na podstawie złożonego przez osobę korzystającą z usługi wniosku o rozliczenie usługi rozwojowej wraz z załącznikami (o których mowa poniżej)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uiszczeniem płatności Operator weryfikuje kompletność złożonych dokumentów rozliczeniowych, do których należy wniosek o rozliczenie usługi rozwojowej wraz z załącznikami: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kopią faktury lub rachunku lub innego równoważnego dowodu księgowego wystawionego zgodnie z przepisami ustawy z dnia 29 września 1994 r. o rachunkowości (t.j. Dz. U. z 2023 r., poz. 120 z późn. zm.); dokument powinien zawierać dane osoby korzystającej z usługi, liczbę godzin usługi rozwojowej opłaconej ze środków publicznych oraz identyfikatory nadane w systemie informatycznym, tj. ID wsparcia, nazwę/tytuł usługi i numer usługi w BUR;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potwierdzeniem zapłaty za udział w usłudze rozwojowej;</w:t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ankietą oceniającą usługę rozwojową wypełnioną przez osobę korzystającą z usługi, wygenerowanej z BUR;</w:t>
      </w:r>
    </w:p>
    <w:p w:rsidR="00000000" w:rsidDel="00000000" w:rsidP="00000000" w:rsidRDefault="00000000" w:rsidRPr="00000000" w14:paraId="00000082">
      <w:pPr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kopią świadectwa ukończenia studiów podyplomowych/kopią dokumentu potwierdzającego ukończenie usługi rozwojowej (zgodnie ze wzorem stanowiącym załącznik nr 10 do regulaminu naboru); dokument powinien zawierać tytuł usługi rozwojowej oraz identyfikatory nadane w systemie teleinformatycznym, dane osoby korzystającej z usługi (imię, nazwisko oraz nr PESEL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2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 r. o Zintegrowanym Systemie Kwalifikacji, w sposób określony w tej ustawie oraz informację czy usługa doprowadziła do uzyskania zielonych kwalifikacji/kompetencji;</w:t>
      </w:r>
    </w:p>
    <w:p w:rsidR="00000000" w:rsidDel="00000000" w:rsidP="00000000" w:rsidRDefault="00000000" w:rsidRPr="00000000" w14:paraId="00000083">
      <w:pPr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kopiami dokumentów wskazanych w protokole z wizyty monitoringowej usług rozwojowych, w odniesieniu do których stwierdzono uchybienia podczas wizyty monitoringowej.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rf40pl2tfcie" w:id="7"/>
      <w:bookmarkEnd w:id="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o rozliczenie usługi rozwojowej wraz załącznikami można złożyć elektronicznie poprzez opatrzenie go kwalifikowanym podpisem elektronicznym lub podpisem osobistym (e-dowód)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w formie papierowej (opatrzony własnoręcznym podpisem). Kopie dokumentów, o których mowa w ust. 2, muszą być potwierdzone przez osobę uczestniczącą w projekcie za zgodność z oryginałem.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Dokumenty rozliczeniowe muszą zostać złożone do Operatora odrębnie dla każdej z usług objętych niniejszą umową w ciągu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dni, licząc od dnia następnego po dniu zakończenia usług, o których mowa w § 2 ust 3.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Calibri" w:cs="Calibri" w:eastAsia="Calibri" w:hAnsi="Calibri"/>
        </w:rPr>
      </w:pPr>
      <w:bookmarkStart w:colFirst="0" w:colLast="0" w:name="_heading=h.w47i0agktsmw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Operator weryfikuje i zatwierdza dokumenty rozliczeniowe, o których mowa w ust. 2, w terminie nie dłuższym niż 14 dni licząc od dnia następującego po dniu złożenia przez osobę korzystającą z usługi tych dokumentów. Bieg terminu na weryfikację i zatwierdzenie dokumentów rozliczeniowych zostaje zawieszony w przypadku potrzeby uzyskania dodatkowych wyjaśnień, uzupełnienia lub korekt w zakresie dokumentów rozliczeniowych, lub potrzeby wyjaśnienia kwalifikowalności wydatku. Bieg terminu ulega zawieszeniu z chwilą wystąpienia Operatora do osoby korzystającej z usługi, która jest zobowiązana do uzupełnienia dokumentów lub złożenia wyjaśnień, celem dalszego procedowania z dokumentami rozliczeniowymi. Z chwilą przekazania uzupełnienia, bieg terminu zostaje odwieszony, Operator dysponuje jedynie tą częścią terminu, której nie wykorzystał do momentu zawieszenia biegu terminu.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przypadku stwierdzenia braków formalnych lub konieczności złożenia wyjaśnień do złożonych przez osobę uczestniczącą w projekcie dokumentów rozliczeniowych, osoba ta jest wezwana do ich uzupełnienia lub złożenia dodatkowych wyjaśnień za pośrednictwem poczty elektronicznej, w wyznaczonym przez Operatora terminie z zastrzeżeniem, że nie może być on krótszy niż 3 dni. Termin liczy się od dnia następującego po dniu wysłania wezwania.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Operator może jednokrotnie wezwać osobę uczestniczącą w projekcie do uzupełnienia braków formalnych lub złożenia wyjaśnień do złożonych przez tę osobę dokumentów rozliczeniowych, co oznacza, że Operator ma obowiązek wezwania w sposób kompleksowy, tj. w jednym wezwaniu wskazać wszystkie błędy, braki i wady w złożonych dokumentach. Operator może wezwać po raz kolejny tylko w zakresie kwestii wymagających dalszego wyjaśnienia, po uzupełnieniu dokumentów.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line="240" w:lineRule="auto"/>
        <w:ind w:left="426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Rozliczenie usługi rozwojowej następuje na podstawie i na warunkach określonych w umowie wsparcia oraz w karcie usługi.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8fwgsb9dtzwp" w:id="9"/>
      <w:bookmarkEnd w:id="9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nie dokona rozliczenia usługi, która prowadzi do zdobycia kwalifikacji, w przypadku braku uzyskania kwalifikacji opisanych w karcie usługi przez osobę korzystającą z usługi. W przypadku zawarcia umowy wsparcia obejmującej kilka usług zasady rozliczania usług wyglądają następująco: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osoba korzystająca z usługi nie wskazała w fiszce, że usługa będzie prowadziła do nabycia kwalifikacji (tj. nie otrzymała dodatkowych punktów na etapie rekrutacji), Operator rozlicza usługi w kolejności składania poprawnych wniosków o rozliczenie, pod warunkiem uzyskania kompetencji/ kwalifikacji przez osobę korzystającą z usługi;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 usługi). W przypadku braku możliwość rozliczenia przynajmniej jednej usługi prowadzącej do nabycia kwalifikacji, Operator nie dokona również płatności za inne usługi.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bookmarkStart w:colFirst="0" w:colLast="0" w:name="_heading=h.d6g77bfldt5f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Po zatwierdzeniu otrzymanych kompletnych dokumentów rozliczeniowych, Operator zwraca osobie korzystającej z usługi część kosztu usługi wynikającą z rachunku/faktury, określoną w umowie jako dofinansowanie, w terminie nie dłuższym niż 3 dni licząc od dnia następnego po dniu zatwierdzenia tych dokumentów, na konto wskazane przez osobę korzystającą z usługi w Załączniku nr 11 do regulaminu naboru, czyli wniosku o rozliczenie usługi (pod warunkiem dostępności środków na rachunku bankowym Operatora).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Wartość łącznych płatności wynikających z wniosków o rozliczenie usług rozwojowych nie może przekroczyć wartości określonej w § 2 ust. 1 umowy wsparcia.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Operator nie dokonuje płatności na rzecz osoby korzystającej z usługi w przypadku:</w:t>
      </w:r>
    </w:p>
    <w:p w:rsidR="00000000" w:rsidDel="00000000" w:rsidP="00000000" w:rsidRDefault="00000000" w:rsidRPr="00000000" w14:paraId="00000090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niezłożenia przez osobę korzystającą z usługi, w wyznaczonym przez Operatora terminie, wymaganych wyjaśnień lub nieusunięcia braków w dokumentacji rozliczeniowej;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mniejszej niż 80% frekwencji na usłudze rozwojowej;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niezłożenia przez osobę korzystającą z usługi, w wyznaczonym przez Operatora terminie, skorygowanej deklaracji wyboru usług rozwojowych albo niezłożenia wymaganych wyjaśnień lub nieusunięcia braków w złożonych dokumentach;</w:t>
      </w:r>
    </w:p>
    <w:p w:rsidR="00000000" w:rsidDel="00000000" w:rsidP="00000000" w:rsidRDefault="00000000" w:rsidRPr="00000000" w14:paraId="00000093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niewypełnienia ankiety oceniającej usługę, o której mowa w ust. 2 pkt 3;</w:t>
      </w:r>
    </w:p>
    <w:p w:rsidR="00000000" w:rsidDel="00000000" w:rsidP="00000000" w:rsidRDefault="00000000" w:rsidRPr="00000000" w14:paraId="00000094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utrudniania przez osobę korzystającą z usługi wykonywania czynności kontrolnych;</w:t>
      </w:r>
    </w:p>
    <w:p w:rsidR="00000000" w:rsidDel="00000000" w:rsidP="00000000" w:rsidRDefault="00000000" w:rsidRPr="00000000" w14:paraId="00000095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niewykonania przez osobę korzystającą z usługi zaleceń pokontrolnych;</w:t>
      </w:r>
    </w:p>
    <w:p w:rsidR="00000000" w:rsidDel="00000000" w:rsidP="00000000" w:rsidRDefault="00000000" w:rsidRPr="00000000" w14:paraId="00000096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gdy wizyta monitoringowa (jeżeli była) wykaże uchybienia, które będą podstawą do uznania usługi za niekwalifikowalną;</w:t>
      </w:r>
    </w:p>
    <w:p w:rsidR="00000000" w:rsidDel="00000000" w:rsidP="00000000" w:rsidRDefault="00000000" w:rsidRPr="00000000" w14:paraId="00000097">
      <w:pPr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gdy osoba korzystająca z usługi nie uzyska kwalifikacji opisanych w karcie usługi, z uwzględnieniem zapisów ust.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braku dokonania płatności, o której mowa w ust. 11, Operator zawiadamia, wraz ze wskazaniem przyczyny, osobę korzystającą z usługi za pośrednictwem poczty elektronicznej.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Uruchomienie płatności następuje po usunięciu lub wyjaśnieniu przyczyn wymienionych w ust. 11, w terminie określonym w ust. 9.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ramach projektu jest niedozwolone podwójne finansowanie wydatków, co oznacza w szczególności: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całkowite lub częściowe, więcej niż jednokrotne poświadczenie, zrefundowanie lub rozliczenie tego samego wydatku w ramach dofinansowania lub wkładu własnego tego samego lub różnych projektów współfinansowanych ze środków europejskich lub/oraz dotacji z krajowych środków publicznych;</w:t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otrzymanie na wydatki kwalifikowalne bezzwrotnej pomocy finansowej z kilku źródeł (krajowych, unijnych lub innych) w wysokości łącznie przekraczającej 100% wydatków kwalifikowalnych usługi rozwojowej.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6.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Kontrola i monitoring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qzx1wgak4rgs" w:id="11"/>
      <w:bookmarkEnd w:id="1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zobowiązuje się 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Kontrola, o której mowa w ust. 1, może być przeprowadzona w okresie realizacji projektu.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Kontrola jest prowadzona: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dokumentach;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miejscu realizacji usługi rozwojowej (wizyta monitoringowa);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Utrudnianie lub uniemożliwienie realizacji uprawnień podmiotów kontrolujących może być traktowane jako odmowa poddania się kontroli, co może skutkować rozwiązaniem umowy.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7.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Zwrot środków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na podstawie czynności związanych z rozliczeniem usługi rozwojowej lub czynności kontrolnych uprawnionych organów zostanie stwierdzone, że: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dofinansowanie zostało wykorzystane w całości lub części niezgodnie z przeznaczeniem;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dofinansowanie zostało wykorzystane z naruszeniem procedur, o których mowa w art. 184 ustawy z dnia 27 sierpnia 2009 r. o finansach publicznych (t.j. Dz.U. z 2023 r., poz. 1270 z późn. zm.);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otrzymała dofinansowanie na pokrycie kosztów zakupu tej usługi w sposób nienależny lub w nadmiernej wysokości;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złożyła dokumenty stwierdzające nieprawdę w celu uzyskania dofinansowania w ramach umowy na pokrycie kosztów zakupu usługi,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wzywa tę osobę do zwrotu całości lub części dofinansowania wraz z odsetkami w wysokości określonej jak dla zaległości podatkowych, liczonymi od dnia przekazania środków.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Odsetki, o których mowa w ust. 1, naliczane są zgodnie z art. 207 ust. 1 ustawy z dnia 27 sierpnia 2009 r. o finansach publicznych (t.j. Dz.U. z 2023 r., poz. 1270 z późn. zm.).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opisuje przelew zwracanych środków zgodnie z zaleceniami Operatora.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nie jest zobowiązany do ponoszenia udokumentowanych kosztów działań windykacyjnych, podejmowanych wobec osoby korzystającej z usługi w związku z uczestnictwem w tej usłudze.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8.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Zmiany umowy</w:t>
      </w:r>
    </w:p>
    <w:p w:rsidR="00000000" w:rsidDel="00000000" w:rsidP="00000000" w:rsidRDefault="00000000" w:rsidRPr="00000000" w14:paraId="000000B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  <w:highlight w:val="white"/>
        </w:rPr>
      </w:pPr>
      <w:bookmarkStart w:colFirst="0" w:colLast="0" w:name="_heading=h.5lxqfbbjpak0" w:id="12"/>
      <w:bookmarkEnd w:id="12"/>
      <w:r w:rsidDel="00000000" w:rsidR="00000000" w:rsidRPr="00000000">
        <w:rPr>
          <w:rFonts w:ascii="Calibri" w:cs="Calibri" w:eastAsia="Calibri" w:hAnsi="Calibri"/>
          <w:rtl w:val="0"/>
        </w:rPr>
        <w:t xml:space="preserve">Umowę należy każdorazowo zmienić, w drodze aneksu, w przypadku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zmiany kwot, o których mowa w § 2 ust. 1, 3 i 5;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zmiany numeru karty usługi rozwojowej zgodnie z § 2 ust.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yd9hl4241o8p" w:id="13"/>
      <w:bookmarkEnd w:id="1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braku możliwości zapisu na usługę (odwołana usługa, brak miejsc, sytuacja losowa osoby korzystającej z usługi, która jest zgłoszona Operatorowi) – dopuszcza się złożenie korekty deklaracji wyboru usługi zawierającej nową usługę, z zakresu tego samego obszaru tematycznego, na jaką została podpisana umowa – w nieprzekraczalnym terminie 10 dni od zaistnienia ww. sytuacji. Zmiana usługi wymaga sporządzenia aneksu umowy wsparcia.</w:t>
      </w:r>
    </w:p>
    <w:p w:rsidR="00000000" w:rsidDel="00000000" w:rsidP="00000000" w:rsidRDefault="00000000" w:rsidRPr="00000000" w14:paraId="000000C1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Osoba korzystająca z usługi ma obowiązek niezwłocznie poinformować Operatora o zaistniałej zmianie w formularzu zgłoszeniowym uczestnika.</w:t>
      </w:r>
    </w:p>
    <w:p w:rsidR="00000000" w:rsidDel="00000000" w:rsidP="00000000" w:rsidRDefault="00000000" w:rsidRPr="00000000" w14:paraId="000000C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przypadku braku powiadomienia Operatora o zmianie, o której mowa w ust. 2 i ust. 3, Operator może nie uiścić zapłaty na rzecz osoby korzystającej z usługi.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9.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Rozwiązanie umowy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może rozwiązać umowę wsparcia bez zachowania okresu wypowiedzenia, jeżeli osoba korzystająca z usługi: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wykorzystała w całości lub części przekazane środki niezgodnie z przeznaczeniem;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złożyła stwierdzający nieprawdę dokument w celu uzyskania dofinansowania;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otrzymała wsparcie na pokrycie kosztów zakupu usługi rozwojowej nienależnie lub w nadmiernej wysokości;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wykorzystała środki z naruszeniem procedur, o których mowa w art. 184 ustawy z dnia 27 sierpnia 2009 r. o finansach publicznych (t.j. Dz.U. z 2023 r., poz. 1270 z późn. zm.);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nie dostarczy Operatorowi kopii faktury (bądź innego dokumentu, np. umowy z dostawcą usługi) oraz potwierdzenie zapłaty, o których mowa w § 2 ust. 6;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nie przedłożyła, zgodnie z umową, wniosku o rozliczenie usługi wraz z załącznikami;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sposób uporczywy uchyla się od wykonywania obowiązków, o których mowa w § 6 ust. 1;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nie uczestniczy w usłudze wskazanej w aktualnej deklaracji wyboru usług rozwojowych;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koszt usługi został uznany za niekwalifikowalny na etapie weryfikacji wniosku o rozliczenie.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razie rozwiązania umowy osobie korzystającej z usługi nie przysługuje odszkodowanie.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Umowa może zostać rozwiązana przez każdą ze stron w przypadku wystąpienia okoliczności, które uniemożliwiają lub nadmiernie utrudniają dalsze wykonywanie postanowień zawartych w umowie, z zachowaniem siedmiodniowego terminu wypowiedzenia.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Rozwiązanie umowy na podstawie ust. 1 powoduje jednoczesne rozwiązanie umowy uczestnictwa.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w4srdsms1nlk" w:id="14"/>
      <w:bookmarkEnd w:id="1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Rozwiązanie umowy nie jest skuteczne w zakresie, w jakim stanowi ona podstawę do przetwarzania danych osobowych.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10.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Korespondencja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Wszelka korespondencja związana z realizacją umowy jest prowadzona w formie pisemnej lub za pośrednictwem poczty elektronicznej, kierowanej na poniższe adresy: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426" w:right="38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1287" w:right="384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0"/>
        </w:tabs>
        <w:spacing w:after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ul. K. Goduli 36, 41-703 Ruda Śląska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0"/>
        </w:tabs>
        <w:spacing w:after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adres e-mail: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projekt10.17@inkubatorsl.pl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widowControl w:val="0"/>
        <w:tabs>
          <w:tab w:val="left" w:leader="none" w:pos="0"/>
        </w:tabs>
        <w:spacing w:after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38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uczestnicząca w projekcie: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384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2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(ul., numer budynku/lokalu, kod pocztowy, miejscowość)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34" w:right="-2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adres e-mail: …………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zmiany danych, o których mowa w ust. 1, strony umowy są zobowiązane do powiadomienia o tej zmianie w formie pisemnej lub za pośrednictwem poczty elektronicznej w terminie do 5 dni od dnia jej wystąpienia.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okresie obowiązywania umowy osoba korzystająca z usługi jest zobowiązana do niezwłocznego powiadamiania Operatora o wszelkich zmianach danych mających wpływ na uczestnictwo w projekcie.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uczestnicząca w projekcie zobowiązana jest do zapewnienia prawidłowego działania i regularnego (min. raz dziennie) monitorowania skrzynki poczty elektronicznej, której adres wskazano w ust. 1 pkt 2.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11.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Postanowienia końcowe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Prawa i obowiązki osoby korzystającej z usługi wynikające z umowy nie mogą być przenoszone na rzecz osoby trzeciej.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Spory związane z realizacją umowy strony będą starały się rozwiązać polubownie.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nierozwiązania sporu w drodze polubownej, sprawa jest rozstrzygana przez sąd powszechny właściwy dla siedziby Operatora.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 Dz.U. z 2023 r., poz. 1610 z późn.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Umowa została sporządzona w dwóch jednobrzmiących egzemplarzach, po jednym dla Operatora i osoby korzystającej z usługi.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Dopuszcza się elektroniczne podpisanie umowy wsparcia poprzez opatrzenie jej kwalifikowanym podpisem elektronicznym lub podpisem osobistym (e-dowód)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lub przekazanie przez Operatora umowy za pośrednictwem poczty elektronicznej w celu jej wydrukowania i podpisania przez uczestnika i odesłania do Operatora za pośrednictwem operatora pocztowego lub podmiotu prowadzącego działalność kurierską.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obowiązuje od dnia jej podpisania przez ostatnią ze stron do momentu realizacji wszystkich zobowiązań obydwu stron, wynikających z zapisów treści umowy.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</w:t>
        <w:tab/>
        <w:tab/>
        <w:tab/>
        <w:tab/>
        <w:t xml:space="preserve">………………………………..........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hanging="4247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Operator (data i podpis)</w:t>
        <w:tab/>
        <w:tab/>
        <w:t xml:space="preserve">osoba uczestnicząca w projekcie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(data i 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Załączniki: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wyboru usług rozwojowych.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18" w:top="1134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1"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Definicja certyfikowania zgodna z art. 2 pkt 1 ustawy z dnia 22 grudnia 2015 r. o Zintegrowanym Systemie Kwalifikacji (Dz.U. z 2020 r. poz. 226 z późn. zm.).</w:t>
      </w:r>
    </w:p>
  </w:footnote>
  <w:footnote w:id="2"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Definicja kwalifikacji zgodna z art. 2 pkt 8 ustawy z dnia 22 grudnia 2015 r. o Zintegrowanym Systemie Kwalifikacji (Dz.U. z 2020 r. poz. 226 z późn. zm.).</w:t>
      </w:r>
    </w:p>
  </w:footnote>
  <w:footnote w:id="3"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Definicja walidacji zgodna z art. 2 pkt 22 ustawy z dnia 22 grudnia 2015 r. o Zintegrowanym Systemie Kwalifikacji (Dz.U. z 2020 r. poz. 226 z późn. zm.).</w:t>
      </w:r>
    </w:p>
  </w:footnote>
  <w:footnote w:id="4"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Jak wyżej.</w:t>
      </w:r>
    </w:p>
  </w:footnote>
  <w:footnote w:id="5"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Jak wyżej.</w:t>
      </w:r>
    </w:p>
  </w:footnote>
  <w:footnote w:id="6"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Jak wyżej.</w:t>
      </w:r>
    </w:p>
  </w:footnote>
  <w:footnote w:id="7"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Wyszczególnić każdą usługę objętą umową.</w:t>
      </w:r>
    </w:p>
  </w:footnote>
  <w:footnote w:id="8"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Dopuszczalna jest również wpłata z konta bankowego, do którego osoba uczestnicząca w projekcie posiada status współposiadacza konta. Dopuszczalne jest również przyjmowanie wpłat 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9"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Dopuszcza się realizację usługi w formule on-line na odpowiedniej platformie webinarowej. Dopuszcza się również realizację usługi poza terenem, o którym mowa w pkt 4, w przypadku: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:rsidR="00000000" w:rsidDel="00000000" w:rsidP="00000000" w:rsidRDefault="00000000" w:rsidRPr="00000000" w14:paraId="00000106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0"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Przez powiązania kapitałowe lub osobowe należy rozumieć powiązania, o których mowa w ust. 2 pkt 2.</w:t>
      </w:r>
    </w:p>
  </w:footnote>
  <w:footnote w:id="11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Dokumenty rozliczeniowe składane są w jednym egzemplarzu.</w:t>
      </w:r>
    </w:p>
  </w:footnote>
  <w:footnote w:id="12"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 przypadku braku nr PESEL należy podać datę urodzenia oraz typ i numer dokumentu tożsamości</w:t>
      </w:r>
    </w:p>
  </w:footnote>
  <w:footnote w:id="13"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jest możliwe podpisanie wniosku podpisem zaufanym.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714875" cy="647700"/>
          <wp:effectExtent b="0" l="0" r="0" t="0"/>
          <wp:docPr descr="Logotypy programu Fundusze Europejskie dla Śląskiego 2021-2027 (mono poziom)" id="2" name="image1.png"/>
          <a:graphic>
            <a:graphicData uri="http://schemas.openxmlformats.org/drawingml/2006/picture">
              <pic:pic>
                <pic:nvPicPr>
                  <pic:cNvPr descr="Logotypy programu Fundusze Europejskie dla Śląskiego 2021-2027 (mono poziom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123" w:hanging="70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80" w:hanging="360"/>
      </w:pPr>
      <w:rPr/>
    </w:lvl>
    <w:lvl w:ilvl="1">
      <w:start w:val="0"/>
      <w:numFmt w:val="bullet"/>
      <w:lvlText w:val="●"/>
      <w:lvlJc w:val="left"/>
      <w:pPr>
        <w:ind w:left="11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20" w:hanging="180"/>
      </w:pPr>
      <w:rPr/>
    </w:lvl>
    <w:lvl w:ilvl="3">
      <w:start w:val="1"/>
      <w:numFmt w:val="decimal"/>
      <w:lvlText w:val="%4."/>
      <w:lvlJc w:val="left"/>
      <w:pPr>
        <w:ind w:left="360" w:hanging="360"/>
      </w:pPr>
      <w:rPr/>
    </w:lvl>
    <w:lvl w:ilvl="4">
      <w:start w:val="1"/>
      <w:numFmt w:val="lowerLetter"/>
      <w:lvlText w:val="%5."/>
      <w:lvlJc w:val="left"/>
      <w:pPr>
        <w:ind w:left="3260" w:hanging="360"/>
      </w:pPr>
      <w:rPr/>
    </w:lvl>
    <w:lvl w:ilvl="5">
      <w:start w:val="1"/>
      <w:numFmt w:val="lowerRoman"/>
      <w:lvlText w:val="%6."/>
      <w:lvlJc w:val="right"/>
      <w:pPr>
        <w:ind w:left="3980" w:hanging="180"/>
      </w:pPr>
      <w:rPr/>
    </w:lvl>
    <w:lvl w:ilvl="6">
      <w:start w:val="1"/>
      <w:numFmt w:val="decimal"/>
      <w:lvlText w:val="%7."/>
      <w:lvlJc w:val="left"/>
      <w:pPr>
        <w:ind w:left="4700" w:hanging="360"/>
      </w:pPr>
      <w:rPr/>
    </w:lvl>
    <w:lvl w:ilvl="7">
      <w:start w:val="1"/>
      <w:numFmt w:val="lowerLetter"/>
      <w:lvlText w:val="%8."/>
      <w:lvlJc w:val="left"/>
      <w:pPr>
        <w:ind w:left="5420" w:hanging="360"/>
      </w:pPr>
      <w:rPr/>
    </w:lvl>
    <w:lvl w:ilvl="8">
      <w:start w:val="1"/>
      <w:numFmt w:val="lowerRoman"/>
      <w:lvlText w:val="%9."/>
      <w:lvlJc w:val="right"/>
      <w:pPr>
        <w:ind w:left="614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25" w:hanging="425"/>
      </w:pPr>
      <w:rPr>
        <w:rFonts w:ascii="Calibri" w:cs="Calibri" w:eastAsia="Calibri" w:hAnsi="Calibri"/>
        <w:b w:val="0"/>
      </w:rPr>
    </w:lvl>
    <w:lvl w:ilvl="1">
      <w:start w:val="1"/>
      <w:numFmt w:val="decimal"/>
      <w:lvlText w:val="%2)"/>
      <w:lvlJc w:val="left"/>
      <w:pPr>
        <w:ind w:left="851" w:hanging="426.00000000000006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276" w:hanging="425"/>
      </w:pPr>
      <w:rPr/>
    </w:lvl>
    <w:lvl w:ilvl="2">
      <w:start w:val="1"/>
      <w:numFmt w:val="lowerRoman"/>
      <w:lvlText w:val="%3)"/>
      <w:lvlJc w:val="left"/>
      <w:pPr>
        <w:ind w:left="2700" w:hanging="72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851" w:hanging="426.00000000000006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1134" w:hanging="425.9999999999999"/>
      </w:pPr>
      <w:rPr/>
    </w:lvl>
    <w:lvl w:ilvl="1">
      <w:start w:val="1"/>
      <w:numFmt w:val="lowerLetter"/>
      <w:lvlText w:val="%2."/>
      <w:lvlJc w:val="left"/>
      <w:pPr>
        <w:ind w:left="1723" w:hanging="360"/>
      </w:pPr>
      <w:rPr/>
    </w:lvl>
    <w:lvl w:ilvl="2">
      <w:start w:val="1"/>
      <w:numFmt w:val="lowerRoman"/>
      <w:lvlText w:val="%3."/>
      <w:lvlJc w:val="right"/>
      <w:pPr>
        <w:ind w:left="2443" w:hanging="180"/>
      </w:pPr>
      <w:rPr/>
    </w:lvl>
    <w:lvl w:ilvl="3">
      <w:start w:val="1"/>
      <w:numFmt w:val="decimal"/>
      <w:lvlText w:val="%4."/>
      <w:lvlJc w:val="left"/>
      <w:pPr>
        <w:ind w:left="3163" w:hanging="360"/>
      </w:pPr>
      <w:rPr/>
    </w:lvl>
    <w:lvl w:ilvl="4">
      <w:start w:val="1"/>
      <w:numFmt w:val="lowerLetter"/>
      <w:lvlText w:val="%5."/>
      <w:lvlJc w:val="left"/>
      <w:pPr>
        <w:ind w:left="3883" w:hanging="360"/>
      </w:pPr>
      <w:rPr/>
    </w:lvl>
    <w:lvl w:ilvl="5">
      <w:start w:val="1"/>
      <w:numFmt w:val="lowerRoman"/>
      <w:lvlText w:val="%6."/>
      <w:lvlJc w:val="right"/>
      <w:pPr>
        <w:ind w:left="4603" w:hanging="180"/>
      </w:pPr>
      <w:rPr/>
    </w:lvl>
    <w:lvl w:ilvl="6">
      <w:start w:val="1"/>
      <w:numFmt w:val="decimal"/>
      <w:lvlText w:val="%7."/>
      <w:lvlJc w:val="left"/>
      <w:pPr>
        <w:ind w:left="5323" w:hanging="360"/>
      </w:pPr>
      <w:rPr/>
    </w:lvl>
    <w:lvl w:ilvl="7">
      <w:start w:val="1"/>
      <w:numFmt w:val="lowerLetter"/>
      <w:lvlText w:val="%8."/>
      <w:lvlJc w:val="left"/>
      <w:pPr>
        <w:ind w:left="6043" w:hanging="360"/>
      </w:pPr>
      <w:rPr/>
    </w:lvl>
    <w:lvl w:ilvl="8">
      <w:start w:val="1"/>
      <w:numFmt w:val="lowerRoman"/>
      <w:lvlText w:val="%9."/>
      <w:lvlJc w:val="right"/>
      <w:pPr>
        <w:ind w:left="6763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ind w:left="851" w:hanging="426.00000000000006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851" w:hanging="426.00000000000006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3"/>
      <w:numFmt w:val="decimal"/>
      <w:lvlText w:val="%1)"/>
      <w:lvlJc w:val="left"/>
      <w:pPr>
        <w:ind w:left="1277" w:hanging="42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ind w:left="851" w:hanging="426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ind w:left="786" w:hanging="360.00000000000006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3">
    <w:lvl w:ilvl="0">
      <w:start w:val="1"/>
      <w:numFmt w:val="bullet"/>
      <w:lvlText w:val="−"/>
      <w:lvlJc w:val="left"/>
      <w:pPr>
        <w:ind w:left="24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)"/>
      <w:lvlJc w:val="left"/>
      <w:pPr>
        <w:ind w:left="851" w:hanging="426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1413"/>
    <w:pPr>
      <w:spacing w:after="200" w:line="276" w:lineRule="auto"/>
    </w:pPr>
    <w:rPr>
      <w:rFonts w:cs="Calibri" w:eastAsia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cs="Times New Roman" w:hAnsi="Times New Roman"/>
      <w:position w:val="0"/>
      <w:vertAlign w:val="superscript"/>
    </w:rPr>
  </w:style>
  <w:style w:type="character" w:styleId="TekstprzypisudolnegoZnak" w:customStyle="1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 w:val="1"/>
    <w:rsid w:val="003B1413"/>
    <w:rPr>
      <w:rFonts w:ascii="Times New Roman" w:cs="Times New Roman" w:hAnsi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 w:val="1"/>
      <w:autoSpaceDN w:val="0"/>
      <w:spacing w:after="0" w:line="240" w:lineRule="auto"/>
    </w:pPr>
    <w:rPr>
      <w:rFonts w:ascii="Times New Roman" w:cs="Times New Roman" w:eastAsia="Calibri" w:hAnsi="Times New Roman"/>
      <w:kern w:val="3"/>
      <w:sz w:val="20"/>
      <w:szCs w:val="20"/>
    </w:rPr>
  </w:style>
  <w:style w:type="character" w:styleId="FootnoteTextChar1" w:customStyle="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 w:val="1"/>
    <w:rsid w:val="002A42E2"/>
    <w:rPr>
      <w:rFonts w:cs="Calibri" w:eastAsia="Times New Roman"/>
      <w:sz w:val="20"/>
      <w:szCs w:val="20"/>
      <w:lang w:eastAsia="en-US"/>
    </w:rPr>
  </w:style>
  <w:style w:type="character" w:styleId="TekstprzypisudolnegoZnak1" w:customStyle="1">
    <w:name w:val="Tekst przypisu dolnego Znak1"/>
    <w:basedOn w:val="Domylnaczcionkaakapitu"/>
    <w:uiPriority w:val="99"/>
    <w:semiHidden w:val="1"/>
    <w:rsid w:val="003B1413"/>
    <w:rPr>
      <w:rFonts w:ascii="Calibri" w:cs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locked w:val="1"/>
    <w:rsid w:val="003B1413"/>
    <w:rPr>
      <w:rFonts w:ascii="Calibri" w:cs="Calibri" w:hAnsi="Calibri"/>
      <w:sz w:val="20"/>
      <w:szCs w:val="20"/>
    </w:rPr>
  </w:style>
  <w:style w:type="paragraph" w:styleId="Akapitzlist2" w:customStyle="1">
    <w:name w:val="Akapit z listą2"/>
    <w:basedOn w:val="Normalny"/>
    <w:uiPriority w:val="99"/>
    <w:rsid w:val="003B1413"/>
    <w:pPr>
      <w:ind w:left="720"/>
    </w:pPr>
  </w:style>
  <w:style w:type="paragraph" w:styleId="Akapitzlist1" w:customStyle="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styleId="ListParagraphChar" w:customStyle="1">
    <w:name w:val="List Paragraph Char"/>
    <w:link w:val="Akapitzlist1"/>
    <w:uiPriority w:val="99"/>
    <w:locked w:val="1"/>
    <w:rsid w:val="003B1413"/>
    <w:rPr>
      <w:rFonts w:ascii="Calibri" w:cs="Calibri" w:eastAsia="Times New Roman" w:hAnsi="Calibri"/>
    </w:rPr>
  </w:style>
  <w:style w:type="paragraph" w:styleId="Akapitzlist">
    <w:name w:val="List Paragraph"/>
    <w:basedOn w:val="Normalny"/>
    <w:link w:val="AkapitzlistZnak"/>
    <w:uiPriority w:val="34"/>
    <w:qFormat w:val="1"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 w:val="1"/>
      <w:autoSpaceDN w:val="0"/>
      <w:spacing w:after="120" w:line="240" w:lineRule="auto"/>
      <w:textAlignment w:val="baseline"/>
    </w:pPr>
    <w:rPr>
      <w:rFonts w:ascii="Times New Roman" w:cs="Times New Roman" w:hAnsi="Times New Roman"/>
      <w:kern w:val="3"/>
      <w:sz w:val="20"/>
      <w:szCs w:val="20"/>
      <w:lang w:eastAsia="pl-PL"/>
    </w:rPr>
  </w:style>
  <w:style w:type="character" w:styleId="TekstpodstawowyZnak1" w:customStyle="1">
    <w:name w:val="Tekst podstawowy Znak1"/>
    <w:basedOn w:val="Domylnaczcionkaakapitu"/>
    <w:link w:val="Tekstpodstawowy"/>
    <w:uiPriority w:val="99"/>
    <w:locked w:val="1"/>
    <w:rsid w:val="003B1413"/>
    <w:rPr>
      <w:rFonts w:ascii="Times New Roman" w:cs="Times New Roman" w:hAnsi="Times New Roman"/>
      <w:kern w:val="3"/>
      <w:sz w:val="20"/>
      <w:szCs w:val="20"/>
      <w:lang w:eastAsia="pl-PL"/>
    </w:rPr>
  </w:style>
  <w:style w:type="character" w:styleId="TekstpodstawowyZnak" w:customStyle="1">
    <w:name w:val="Tekst podstawowy Znak"/>
    <w:basedOn w:val="Domylnaczcionkaakapitu"/>
    <w:uiPriority w:val="99"/>
    <w:semiHidden w:val="1"/>
    <w:rsid w:val="003B1413"/>
    <w:rPr>
      <w:rFonts w:ascii="Calibri" w:cs="Calibri" w:hAnsi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locked w:val="1"/>
    <w:rsid w:val="003B1413"/>
    <w:rPr>
      <w:rFonts w:ascii="Calibri" w:cs="Calibri" w:eastAsia="Times New Roman" w:hAnsi="Calibri"/>
      <w:sz w:val="20"/>
      <w:szCs w:val="20"/>
    </w:rPr>
  </w:style>
  <w:style w:type="character" w:styleId="Teksttreci2" w:customStyle="1">
    <w:name w:val="Tekst treści (2)_"/>
    <w:link w:val="Teksttreci20"/>
    <w:uiPriority w:val="99"/>
    <w:locked w:val="1"/>
    <w:rsid w:val="003B1413"/>
    <w:rPr>
      <w:shd w:color="auto" w:fill="ffffff" w:val="clear"/>
    </w:rPr>
  </w:style>
  <w:style w:type="paragraph" w:styleId="Teksttreci20" w:customStyle="1">
    <w:name w:val="Tekst treści (2)"/>
    <w:basedOn w:val="Normalny"/>
    <w:link w:val="Teksttreci2"/>
    <w:uiPriority w:val="99"/>
    <w:rsid w:val="003B1413"/>
    <w:pPr>
      <w:widowControl w:val="0"/>
      <w:shd w:color="auto" w:fill="ffffff" w:val="clear"/>
      <w:spacing w:after="240" w:before="120" w:line="240" w:lineRule="atLeast"/>
      <w:ind w:hanging="620"/>
      <w:jc w:val="center"/>
    </w:pPr>
    <w:rPr>
      <w:rFonts w:cs="Times New Roman" w:eastAsia="Calibri"/>
      <w:sz w:val="20"/>
      <w:szCs w:val="20"/>
      <w:shd w:color="auto" w:fill="ffffff" w:val="clear"/>
    </w:rPr>
  </w:style>
  <w:style w:type="character" w:styleId="AkapitzlistZnak" w:customStyle="1">
    <w:name w:val="Akapit z listą Znak"/>
    <w:link w:val="Akapitzlist"/>
    <w:uiPriority w:val="34"/>
    <w:locked w:val="1"/>
    <w:rsid w:val="003B1413"/>
    <w:rPr>
      <w:rFonts w:ascii="Calibri" w:cs="Calibri" w:eastAsia="Times New Roman" w:hAnsi="Calibri"/>
    </w:rPr>
  </w:style>
  <w:style w:type="paragraph" w:styleId="Akapitzlist3" w:customStyle="1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 w:val="1"/>
    <w:rsid w:val="003B14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locked w:val="1"/>
    <w:rsid w:val="003B1413"/>
    <w:rPr>
      <w:rFonts w:ascii="Segoe UI" w:cs="Segoe UI" w:hAnsi="Segoe UI"/>
      <w:sz w:val="18"/>
      <w:szCs w:val="18"/>
    </w:rPr>
  </w:style>
  <w:style w:type="paragraph" w:styleId="Akapitzlist4" w:customStyle="1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28411D"/>
    <w:pPr>
      <w:spacing w:line="240" w:lineRule="auto"/>
    </w:pPr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locked w:val="1"/>
    <w:rsid w:val="0028411D"/>
    <w:rPr>
      <w:rFonts w:ascii="Calibri" w:cs="Calibri" w:hAnsi="Calibri"/>
      <w:b w:val="1"/>
      <w:bCs w:val="1"/>
      <w:sz w:val="20"/>
      <w:szCs w:val="20"/>
    </w:rPr>
  </w:style>
  <w:style w:type="paragraph" w:styleId="Akapitzlist5" w:customStyle="1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 w:val="1"/>
    <w:uiPriority w:val="99"/>
    <w:semiHidden w:val="1"/>
    <w:rsid w:val="00E87443"/>
    <w:rPr>
      <w:rFonts w:cs="Calibri" w:eastAsia="Times New Roman"/>
      <w:sz w:val="22"/>
      <w:szCs w:val="22"/>
      <w:lang w:eastAsia="en-US"/>
    </w:rPr>
  </w:style>
  <w:style w:type="paragraph" w:styleId="Akapitzlist6" w:customStyle="1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styleId="Akapitzlist11" w:customStyle="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styleId="Textbody" w:customStyle="1">
    <w:name w:val="Text body"/>
    <w:basedOn w:val="Normalny"/>
    <w:rsid w:val="0072464C"/>
    <w:pPr>
      <w:tabs>
        <w:tab w:val="left" w:pos="900"/>
      </w:tabs>
      <w:suppressAutoHyphens w:val="1"/>
      <w:autoSpaceDN w:val="0"/>
      <w:spacing w:after="0" w:line="240" w:lineRule="auto"/>
      <w:jc w:val="both"/>
      <w:textAlignment w:val="baseline"/>
    </w:pPr>
    <w:rPr>
      <w:rFonts w:ascii="Times New Roman" w:cs="Times New Roman" w:hAnsi="Times New Roman"/>
      <w:kern w:val="3"/>
      <w:sz w:val="24"/>
      <w:szCs w:val="24"/>
      <w:lang w:eastAsia="pl-PL"/>
    </w:rPr>
  </w:style>
  <w:style w:type="paragraph" w:styleId="Standard" w:customStyle="1">
    <w:name w:val="Standard"/>
    <w:uiPriority w:val="99"/>
    <w:rsid w:val="0072464C"/>
    <w:pPr>
      <w:suppressAutoHyphens w:val="1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object" w:customStyle="1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 w:val="1"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D727A"/>
    <w:rPr>
      <w:rFonts w:cs="Calibri" w:eastAsia="Times New Roman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projekt10.17@inkubatorsl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bjCrXGqPs11FcN3mA+dc+l32Q==">CgMxLjAyDmguNjJob2lja2V2N2J6Mg5oLmc4NWxieWExazZtcDIOaC5paXM4Zzh3YTN5ZWMyDmguNXM1OTR6aHUxZ2RoMg5oLmdpZGRzbzFtaGp3ZTIOaC5lMHhtbTExOG9tbWUyDmgucnR0djM2aWhleHd6Mg5oLnJmNDBwbDJ0ZmNpZTIOaC53NDdpMGFna3RzbXcyDmguOGZ3Z3NiOWR0endwMg5oLmQ2Zzc3YmZsZHQ1ZjIOaC5xengxd2dhazRyZ3MyDmguNWx4cWZiYmpwYWswMg5oLnlkOWhsNDI0MW84cDIOaC53NHNyZHNtczFubGs4AHIhMWVYUFRZa1pQMmdRNl9kZ3NQN3p2cmVzT0lXOGlWT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2025-03-26T13:10:00Z</dcterms:created>
  <dc:creator>Michał Łaczmański</dc:creator>
</cp:coreProperties>
</file>